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6F500" w14:textId="03D4B4E7" w:rsidR="0084359C" w:rsidRPr="00677B52" w:rsidRDefault="00677B52" w:rsidP="0084359C">
      <w:pPr>
        <w:pStyle w:val="BodyText"/>
        <w:spacing w:after="0"/>
        <w:rPr>
          <w:rStyle w:val="BodyTextChar"/>
          <w:rFonts w:eastAsia="Calibri"/>
          <w:b/>
          <w:bCs/>
        </w:rPr>
      </w:pPr>
      <w:r w:rsidRPr="00677B52">
        <w:rPr>
          <w:rStyle w:val="BodyTextChar"/>
          <w:rFonts w:eastAsia="Calibri"/>
          <w:b/>
          <w:bCs/>
        </w:rPr>
        <w:t xml:space="preserve">LIETUVOS RESPUBLIKOS SPECIALIŲJŲ TYRIMŲ TARNYBOS </w:t>
      </w:r>
      <w:r w:rsidR="006F0076">
        <w:rPr>
          <w:rStyle w:val="BodyTextChar"/>
          <w:rFonts w:eastAsia="Calibri"/>
          <w:b/>
          <w:bCs/>
        </w:rPr>
        <w:t xml:space="preserve">2024-04-16 </w:t>
      </w:r>
      <w:r w:rsidR="0084359C" w:rsidRPr="00677B52">
        <w:rPr>
          <w:rStyle w:val="BodyTextChar"/>
          <w:rFonts w:eastAsia="Calibri"/>
          <w:b/>
          <w:bCs/>
        </w:rPr>
        <w:t xml:space="preserve">KORUPCIJOS RIZIKOS ANALIZĖS IŠVADOJE </w:t>
      </w:r>
      <w:r w:rsidR="006F0076">
        <w:rPr>
          <w:rStyle w:val="BodyTextChar"/>
          <w:rFonts w:eastAsia="Calibri"/>
          <w:b/>
          <w:bCs/>
        </w:rPr>
        <w:t>NR. 4-01-3927</w:t>
      </w:r>
      <w:r w:rsidR="00F624C6" w:rsidRPr="00F624C6">
        <w:rPr>
          <w:rStyle w:val="BodyTextChar"/>
          <w:rFonts w:eastAsia="Calibri"/>
          <w:b/>
          <w:bCs/>
        </w:rPr>
        <w:t xml:space="preserve"> </w:t>
      </w:r>
      <w:r w:rsidR="00F624C6" w:rsidRPr="00677B52">
        <w:rPr>
          <w:rStyle w:val="BodyTextChar"/>
          <w:rFonts w:eastAsia="Calibri"/>
          <w:b/>
          <w:bCs/>
        </w:rPr>
        <w:t>VIEŠOSIOS ĮSTAIGOS REGIONINĖS MAŽEIKIŲ LIGONINĖS VEIKLOS SRITYSE, SUSIJUSIOSE SU SLAUGOS IR PALAIKOMOJO GYDYMO BEI PALIATYVIOSIOS PAGALBOS PASLAUGŲ TEIKIMU,</w:t>
      </w:r>
    </w:p>
    <w:p w14:paraId="631B4C1C" w14:textId="6143F553" w:rsidR="0084359C" w:rsidRPr="00677B52" w:rsidRDefault="0084359C" w:rsidP="0084359C">
      <w:pPr>
        <w:pStyle w:val="BodyText"/>
        <w:spacing w:after="0"/>
        <w:rPr>
          <w:rStyle w:val="BodyTextChar"/>
          <w:rFonts w:eastAsia="Calibri"/>
          <w:b/>
          <w:bCs/>
        </w:rPr>
      </w:pPr>
      <w:r w:rsidRPr="00677B52">
        <w:rPr>
          <w:rStyle w:val="BodyTextChar"/>
          <w:rFonts w:eastAsia="Calibri"/>
          <w:b/>
          <w:bCs/>
        </w:rPr>
        <w:t>TEIKTŲ PASIŪLYMŲ ĮGYVENDINIMA</w:t>
      </w:r>
      <w:r w:rsidRPr="00677B52">
        <w:t>S</w:t>
      </w:r>
    </w:p>
    <w:p w14:paraId="1B8589DE" w14:textId="2943BE0B" w:rsidR="0084359C" w:rsidRPr="00B3584E" w:rsidRDefault="0084359C" w:rsidP="0084359C">
      <w:pPr>
        <w:pStyle w:val="BodyText"/>
        <w:spacing w:after="0"/>
        <w:rPr>
          <w:rStyle w:val="BodyTextChar"/>
          <w:rFonts w:eastAsia="Calibri"/>
          <w:b/>
          <w:bCs/>
        </w:rPr>
      </w:pPr>
    </w:p>
    <w:p w14:paraId="43CFF82C" w14:textId="3DB75199" w:rsidR="007C6D6F" w:rsidRPr="00B3584E" w:rsidRDefault="007C6D6F" w:rsidP="007C6D6F">
      <w:pPr>
        <w:pStyle w:val="BodyText"/>
        <w:spacing w:after="0"/>
      </w:pPr>
    </w:p>
    <w:p w14:paraId="1C70973D" w14:textId="77777777" w:rsidR="007C6D6F" w:rsidRDefault="007C6D6F" w:rsidP="007C6D6F">
      <w:pPr>
        <w:pStyle w:val="BodyText"/>
        <w:spacing w:after="0"/>
      </w:pPr>
    </w:p>
    <w:tbl>
      <w:tblPr>
        <w:tblStyle w:val="TableGrid"/>
        <w:tblW w:w="0" w:type="auto"/>
        <w:tblLook w:val="04A0" w:firstRow="1" w:lastRow="0" w:firstColumn="1" w:lastColumn="0" w:noHBand="0" w:noVBand="1"/>
      </w:tblPr>
      <w:tblGrid>
        <w:gridCol w:w="3114"/>
        <w:gridCol w:w="3188"/>
        <w:gridCol w:w="5887"/>
        <w:gridCol w:w="2020"/>
      </w:tblGrid>
      <w:tr w:rsidR="00A27BB1" w:rsidRPr="002B3452" w14:paraId="0FBF5055" w14:textId="77777777" w:rsidTr="00FE68C9">
        <w:tc>
          <w:tcPr>
            <w:tcW w:w="3114" w:type="dxa"/>
          </w:tcPr>
          <w:p w14:paraId="446B00A2" w14:textId="3EAAB6C1" w:rsidR="00A27BB1" w:rsidRPr="0084359C" w:rsidRDefault="0084359C" w:rsidP="0084359C">
            <w:pPr>
              <w:pStyle w:val="ListParagraph"/>
              <w:widowControl w:val="0"/>
              <w:numPr>
                <w:ilvl w:val="0"/>
                <w:numId w:val="3"/>
              </w:numPr>
              <w:jc w:val="both"/>
              <w:rPr>
                <w:i/>
                <w:snapToGrid w:val="0"/>
              </w:rPr>
            </w:pPr>
            <w:r>
              <w:rPr>
                <w:i/>
                <w:snapToGrid w:val="0"/>
              </w:rPr>
              <w:t xml:space="preserve">Kritinės antikorupcinės </w:t>
            </w:r>
            <w:r w:rsidR="00A27BB1" w:rsidRPr="0084359C">
              <w:rPr>
                <w:i/>
                <w:snapToGrid w:val="0"/>
              </w:rPr>
              <w:t xml:space="preserve"> pastabos</w:t>
            </w:r>
          </w:p>
        </w:tc>
        <w:tc>
          <w:tcPr>
            <w:tcW w:w="3188" w:type="dxa"/>
          </w:tcPr>
          <w:p w14:paraId="58041261" w14:textId="3EE35203" w:rsidR="00A27BB1" w:rsidRPr="008F1D8D" w:rsidRDefault="00A27BB1" w:rsidP="00610745">
            <w:pPr>
              <w:widowControl w:val="0"/>
              <w:jc w:val="center"/>
              <w:rPr>
                <w:i/>
                <w:snapToGrid w:val="0"/>
              </w:rPr>
            </w:pPr>
            <w:r w:rsidRPr="008F1D8D">
              <w:rPr>
                <w:i/>
                <w:snapToGrid w:val="0"/>
              </w:rPr>
              <w:t xml:space="preserve">Pasiūlymai atsižvelgiant į </w:t>
            </w:r>
            <w:r w:rsidR="0084359C">
              <w:rPr>
                <w:i/>
                <w:snapToGrid w:val="0"/>
              </w:rPr>
              <w:t xml:space="preserve">kritines antikorupcines </w:t>
            </w:r>
            <w:r w:rsidRPr="008F1D8D">
              <w:rPr>
                <w:i/>
                <w:snapToGrid w:val="0"/>
              </w:rPr>
              <w:t xml:space="preserve"> pastabas</w:t>
            </w:r>
          </w:p>
        </w:tc>
        <w:tc>
          <w:tcPr>
            <w:tcW w:w="5887" w:type="dxa"/>
          </w:tcPr>
          <w:p w14:paraId="2F41F0AD" w14:textId="77777777" w:rsidR="00A27BB1" w:rsidRPr="008F1D8D" w:rsidRDefault="00A27BB1" w:rsidP="00610745">
            <w:pPr>
              <w:widowControl w:val="0"/>
              <w:jc w:val="center"/>
              <w:rPr>
                <w:i/>
                <w:snapToGrid w:val="0"/>
              </w:rPr>
            </w:pPr>
            <w:r w:rsidRPr="008F1D8D">
              <w:rPr>
                <w:i/>
                <w:snapToGrid w:val="0"/>
              </w:rPr>
              <w:t>Duomenys apie pastabų ir pasiūlymų įgyvendinimą</w:t>
            </w:r>
          </w:p>
        </w:tc>
        <w:tc>
          <w:tcPr>
            <w:tcW w:w="2020" w:type="dxa"/>
          </w:tcPr>
          <w:p w14:paraId="0FBAE3BC" w14:textId="77777777" w:rsidR="00A27BB1" w:rsidRPr="008F1D8D" w:rsidRDefault="00A27BB1" w:rsidP="00610745">
            <w:pPr>
              <w:widowControl w:val="0"/>
              <w:jc w:val="center"/>
              <w:rPr>
                <w:i/>
                <w:snapToGrid w:val="0"/>
              </w:rPr>
            </w:pPr>
            <w:r w:rsidRPr="008F1D8D">
              <w:rPr>
                <w:i/>
                <w:snapToGrid w:val="0"/>
              </w:rPr>
              <w:t>Specialiųjų tyrimų tarnybos vertinimas</w:t>
            </w:r>
          </w:p>
        </w:tc>
      </w:tr>
      <w:tr w:rsidR="00A27BB1" w:rsidRPr="002B3452" w14:paraId="063249BE" w14:textId="77777777" w:rsidTr="004A6F3C">
        <w:tc>
          <w:tcPr>
            <w:tcW w:w="14209" w:type="dxa"/>
            <w:gridSpan w:val="4"/>
          </w:tcPr>
          <w:p w14:paraId="397986B9" w14:textId="77777777" w:rsidR="00A27BB1" w:rsidRPr="008F1D8D" w:rsidRDefault="00A27BB1" w:rsidP="00610745">
            <w:pPr>
              <w:pStyle w:val="ListParagraph"/>
              <w:widowControl w:val="0"/>
              <w:numPr>
                <w:ilvl w:val="0"/>
                <w:numId w:val="1"/>
              </w:numPr>
              <w:jc w:val="center"/>
              <w:rPr>
                <w:i/>
                <w:snapToGrid w:val="0"/>
              </w:rPr>
            </w:pPr>
            <w:r w:rsidRPr="008F1D8D">
              <w:rPr>
                <w:i/>
                <w:snapToGrid w:val="0"/>
              </w:rPr>
              <w:t>Kritinės antikorupcinės pastabos</w:t>
            </w:r>
          </w:p>
        </w:tc>
      </w:tr>
      <w:tr w:rsidR="00A27BB1" w:rsidRPr="002B3452" w14:paraId="12254E44" w14:textId="77777777" w:rsidTr="00FE68C9">
        <w:tc>
          <w:tcPr>
            <w:tcW w:w="3114" w:type="dxa"/>
          </w:tcPr>
          <w:p w14:paraId="5243AC07" w14:textId="0D9BA969" w:rsidR="00A27BB1" w:rsidRPr="002B3452" w:rsidRDefault="00050F6E" w:rsidP="00422593">
            <w:pPr>
              <w:widowControl w:val="0"/>
              <w:jc w:val="both"/>
              <w:rPr>
                <w:snapToGrid w:val="0"/>
              </w:rPr>
            </w:pPr>
            <w:r>
              <w:rPr>
                <w:noProof/>
              </w:rPr>
              <w:t>4.1.1</w:t>
            </w:r>
            <w:r w:rsidR="000E1B45">
              <w:rPr>
                <w:noProof/>
              </w:rPr>
              <w:t>. Esantis įstaigos vidaus teisinis reglamentavimas, susijęs su slaugos ir paliatyviosios pagalbos paslaugų teikimu ne visais atvejais yra išsamus ir pakankamas bei stokoja nuoseklumo, todėl kyla rizika dėl galima subjektyvaus ir nevienodo teisės normų įvertinimo bei taikymo ir piktnaudžiavimo teikiant paslaugas.</w:t>
            </w:r>
            <w:r w:rsidR="009F6E6B">
              <w:rPr>
                <w:noProof/>
              </w:rPr>
              <w:t>.</w:t>
            </w:r>
          </w:p>
        </w:tc>
        <w:tc>
          <w:tcPr>
            <w:tcW w:w="3188" w:type="dxa"/>
          </w:tcPr>
          <w:p w14:paraId="092B769E" w14:textId="5CB7CD92" w:rsidR="00A27BB1" w:rsidRPr="002B3452" w:rsidRDefault="008F2BC0" w:rsidP="00610745">
            <w:pPr>
              <w:widowControl w:val="0"/>
              <w:rPr>
                <w:snapToGrid w:val="0"/>
              </w:rPr>
            </w:pPr>
            <w:r>
              <w:rPr>
                <w:color w:val="000000"/>
                <w:kern w:val="2"/>
                <w:lang w:bidi="lt-LT"/>
                <w14:ligatures w14:val="standardContextual"/>
              </w:rPr>
              <w:t xml:space="preserve">5.1.1. </w:t>
            </w:r>
            <w:r w:rsidR="000E1B45">
              <w:rPr>
                <w:color w:val="000000"/>
                <w:kern w:val="2"/>
                <w:lang w:bidi="lt-LT"/>
                <w14:ligatures w14:val="standardContextual"/>
              </w:rPr>
              <w:t xml:space="preserve">Tobulinti vidaus teisinį reglamentavimą, susijusį su slaugos ir </w:t>
            </w:r>
            <w:proofErr w:type="spellStart"/>
            <w:r w:rsidR="000E1B45">
              <w:rPr>
                <w:color w:val="000000"/>
                <w:kern w:val="2"/>
                <w:lang w:bidi="lt-LT"/>
                <w14:ligatures w14:val="standardContextual"/>
              </w:rPr>
              <w:t>paliatyviosios</w:t>
            </w:r>
            <w:proofErr w:type="spellEnd"/>
            <w:r w:rsidR="000E1B45">
              <w:rPr>
                <w:color w:val="000000"/>
                <w:kern w:val="2"/>
                <w:lang w:bidi="lt-LT"/>
                <w14:ligatures w14:val="standardContextual"/>
              </w:rPr>
              <w:t xml:space="preserve"> pagalbos paslaugų teikimu, įtvirtinant konkrečius procesus, už jų įgyvendinimą atsakingus asmenis bei procesų įvykdymo terminus, be kita ko, užtikrinant personalo vykdomų funkcijų atskyrimą bei vykdomų procedūrų dokumentavimą ir atsekamumą</w:t>
            </w:r>
            <w:r w:rsidR="009F6E6B">
              <w:rPr>
                <w:color w:val="000000"/>
                <w:kern w:val="2"/>
                <w:lang w:bidi="lt-LT"/>
                <w14:ligatures w14:val="standardContextual"/>
              </w:rPr>
              <w:t>.</w:t>
            </w:r>
          </w:p>
        </w:tc>
        <w:tc>
          <w:tcPr>
            <w:tcW w:w="5887" w:type="dxa"/>
          </w:tcPr>
          <w:p w14:paraId="2CE55744" w14:textId="1EB0F4B5" w:rsidR="00E626EC" w:rsidRPr="00A021C4" w:rsidRDefault="00BB43B6" w:rsidP="009F6E6B">
            <w:pPr>
              <w:widowControl w:val="0"/>
              <w:spacing w:line="276" w:lineRule="auto"/>
              <w:rPr>
                <w:color w:val="000000"/>
                <w:kern w:val="2"/>
                <w:lang w:bidi="lt-LT"/>
                <w14:ligatures w14:val="standardContextual"/>
              </w:rPr>
            </w:pPr>
            <w:r>
              <w:rPr>
                <w:color w:val="000000"/>
                <w:kern w:val="2"/>
                <w:lang w:bidi="lt-LT"/>
                <w14:ligatures w14:val="standardContextual"/>
              </w:rPr>
              <w:t xml:space="preserve">Atsižvelgiant į </w:t>
            </w:r>
            <w:r w:rsidR="00677B52">
              <w:rPr>
                <w:color w:val="000000"/>
                <w:kern w:val="2"/>
                <w:lang w:bidi="lt-LT"/>
                <w14:ligatures w14:val="standardContextual"/>
              </w:rPr>
              <w:t xml:space="preserve">Lietuvos Respublikos specialiųjų tyrimų tarnybos </w:t>
            </w:r>
            <w:r>
              <w:rPr>
                <w:color w:val="000000"/>
                <w:kern w:val="2"/>
                <w:lang w:bidi="lt-LT"/>
                <w14:ligatures w14:val="standardContextual"/>
              </w:rPr>
              <w:t xml:space="preserve">pasiūlymus </w:t>
            </w:r>
            <w:r w:rsidR="00677B52">
              <w:rPr>
                <w:color w:val="000000"/>
                <w:kern w:val="2"/>
                <w:lang w:bidi="lt-LT"/>
                <w14:ligatures w14:val="standardContextual"/>
              </w:rPr>
              <w:t>pa</w:t>
            </w:r>
            <w:r>
              <w:rPr>
                <w:color w:val="000000"/>
                <w:kern w:val="2"/>
                <w:lang w:bidi="lt-LT"/>
                <w14:ligatures w14:val="standardContextual"/>
              </w:rPr>
              <w:t>t</w:t>
            </w:r>
            <w:r w:rsidR="00A021C4">
              <w:rPr>
                <w:color w:val="000000"/>
                <w:kern w:val="2"/>
                <w:lang w:bidi="lt-LT"/>
                <w14:ligatures w14:val="standardContextual"/>
              </w:rPr>
              <w:t>obulin</w:t>
            </w:r>
            <w:r>
              <w:rPr>
                <w:color w:val="000000"/>
                <w:kern w:val="2"/>
                <w:lang w:bidi="lt-LT"/>
                <w14:ligatures w14:val="standardContextual"/>
              </w:rPr>
              <w:t xml:space="preserve">tas </w:t>
            </w:r>
            <w:r w:rsidR="00A021C4">
              <w:rPr>
                <w:color w:val="000000"/>
                <w:kern w:val="2"/>
                <w:lang w:bidi="lt-LT"/>
                <w14:ligatures w14:val="standardContextual"/>
              </w:rPr>
              <w:t>vidaus teisin</w:t>
            </w:r>
            <w:r>
              <w:rPr>
                <w:color w:val="000000"/>
                <w:kern w:val="2"/>
                <w:lang w:bidi="lt-LT"/>
                <w14:ligatures w14:val="standardContextual"/>
              </w:rPr>
              <w:t xml:space="preserve">is </w:t>
            </w:r>
            <w:r w:rsidR="00A021C4">
              <w:rPr>
                <w:color w:val="000000"/>
                <w:kern w:val="2"/>
                <w:lang w:bidi="lt-LT"/>
                <w14:ligatures w14:val="standardContextual"/>
              </w:rPr>
              <w:t>reglamentavim</w:t>
            </w:r>
            <w:r>
              <w:rPr>
                <w:color w:val="000000"/>
                <w:kern w:val="2"/>
                <w:lang w:bidi="lt-LT"/>
                <w14:ligatures w14:val="standardContextual"/>
              </w:rPr>
              <w:t>as</w:t>
            </w:r>
            <w:r w:rsidR="00A021C4">
              <w:rPr>
                <w:color w:val="000000"/>
                <w:kern w:val="2"/>
                <w:lang w:bidi="lt-LT"/>
                <w14:ligatures w14:val="standardContextual"/>
              </w:rPr>
              <w:t>, susij</w:t>
            </w:r>
            <w:r>
              <w:rPr>
                <w:color w:val="000000"/>
                <w:kern w:val="2"/>
                <w:lang w:bidi="lt-LT"/>
                <w14:ligatures w14:val="standardContextual"/>
              </w:rPr>
              <w:t xml:space="preserve">ęs </w:t>
            </w:r>
            <w:r w:rsidR="00A021C4">
              <w:rPr>
                <w:color w:val="000000"/>
                <w:kern w:val="2"/>
                <w:lang w:bidi="lt-LT"/>
                <w14:ligatures w14:val="standardContextual"/>
              </w:rPr>
              <w:t xml:space="preserve">su slaugos ir </w:t>
            </w:r>
            <w:proofErr w:type="spellStart"/>
            <w:r w:rsidR="00A021C4">
              <w:rPr>
                <w:color w:val="000000"/>
                <w:kern w:val="2"/>
                <w:lang w:bidi="lt-LT"/>
                <w14:ligatures w14:val="standardContextual"/>
              </w:rPr>
              <w:t>paliatyviosios</w:t>
            </w:r>
            <w:proofErr w:type="spellEnd"/>
            <w:r w:rsidR="00A021C4">
              <w:rPr>
                <w:color w:val="000000"/>
                <w:kern w:val="2"/>
                <w:lang w:bidi="lt-LT"/>
                <w14:ligatures w14:val="standardContextual"/>
              </w:rPr>
              <w:t xml:space="preserve"> pagalbos paslaugų teikimu, </w:t>
            </w:r>
            <w:r>
              <w:rPr>
                <w:color w:val="000000"/>
                <w:kern w:val="2"/>
                <w:lang w:bidi="lt-LT"/>
                <w14:ligatures w14:val="standardContextual"/>
              </w:rPr>
              <w:t xml:space="preserve">parengtas ir </w:t>
            </w:r>
            <w:r>
              <w:rPr>
                <w:snapToGrid w:val="0"/>
              </w:rPr>
              <w:t xml:space="preserve">Viešosios įstaigos Regioninės Mažeikių ligoninės </w:t>
            </w:r>
            <w:r>
              <w:rPr>
                <w:snapToGrid w:val="0"/>
              </w:rPr>
              <w:t xml:space="preserve">direktoriaus įsakymu </w:t>
            </w:r>
            <w:r w:rsidR="00A021C4">
              <w:rPr>
                <w:color w:val="000000"/>
                <w:kern w:val="2"/>
                <w:lang w:bidi="lt-LT"/>
                <w14:ligatures w14:val="standardContextual"/>
              </w:rPr>
              <w:t>p</w:t>
            </w:r>
            <w:r w:rsidR="00A021C4">
              <w:rPr>
                <w:snapToGrid w:val="0"/>
              </w:rPr>
              <w:t xml:space="preserve">atvirtintas Pacientų registravimo į Viešosios įstaigos Regioninės Mažeikių ligoninės slaugos ir palaikomojo gydymo skyrių asmens sveikatos priežiūros paslaugoms gauti tvarkos aprašas. Detalizuoti </w:t>
            </w:r>
            <w:r w:rsidR="00E626EC">
              <w:rPr>
                <w:snapToGrid w:val="0"/>
              </w:rPr>
              <w:t>pacientų registravimo</w:t>
            </w:r>
            <w:r w:rsidR="00A021C4">
              <w:rPr>
                <w:snapToGrid w:val="0"/>
              </w:rPr>
              <w:t xml:space="preserve"> į laukimo eilę</w:t>
            </w:r>
            <w:r w:rsidR="003650CC">
              <w:rPr>
                <w:snapToGrid w:val="0"/>
              </w:rPr>
              <w:t xml:space="preserve"> ir </w:t>
            </w:r>
            <w:r w:rsidR="00E626EC">
              <w:rPr>
                <w:snapToGrid w:val="0"/>
              </w:rPr>
              <w:t xml:space="preserve">sprendimų priėmimo procesai, </w:t>
            </w:r>
            <w:r w:rsidR="00FE68C9">
              <w:rPr>
                <w:snapToGrid w:val="0"/>
              </w:rPr>
              <w:t>nustatyti</w:t>
            </w:r>
            <w:r w:rsidR="00A021C4">
              <w:rPr>
                <w:snapToGrid w:val="0"/>
              </w:rPr>
              <w:t xml:space="preserve"> </w:t>
            </w:r>
            <w:r w:rsidR="00E626EC">
              <w:rPr>
                <w:snapToGrid w:val="0"/>
              </w:rPr>
              <w:t xml:space="preserve">už </w:t>
            </w:r>
            <w:r w:rsidR="00FE68C9">
              <w:rPr>
                <w:color w:val="000000"/>
                <w:kern w:val="2"/>
                <w:lang w:bidi="lt-LT"/>
                <w14:ligatures w14:val="standardContextual"/>
              </w:rPr>
              <w:t xml:space="preserve">slaugos ir </w:t>
            </w:r>
            <w:proofErr w:type="spellStart"/>
            <w:r w:rsidR="00FE68C9">
              <w:rPr>
                <w:color w:val="000000"/>
                <w:kern w:val="2"/>
                <w:lang w:bidi="lt-LT"/>
                <w14:ligatures w14:val="standardContextual"/>
              </w:rPr>
              <w:t>paliatyviosios</w:t>
            </w:r>
            <w:proofErr w:type="spellEnd"/>
            <w:r w:rsidR="00FE68C9">
              <w:rPr>
                <w:color w:val="000000"/>
                <w:kern w:val="2"/>
                <w:lang w:bidi="lt-LT"/>
                <w14:ligatures w14:val="standardContextual"/>
              </w:rPr>
              <w:t xml:space="preserve"> pagalbos paslaugų teikimo</w:t>
            </w:r>
            <w:r w:rsidR="00E626EC">
              <w:rPr>
                <w:snapToGrid w:val="0"/>
              </w:rPr>
              <w:t xml:space="preserve"> įgyvendinimą atsakingi</w:t>
            </w:r>
            <w:r w:rsidR="00FE68C9">
              <w:rPr>
                <w:snapToGrid w:val="0"/>
              </w:rPr>
              <w:t xml:space="preserve"> asmenys</w:t>
            </w:r>
            <w:r w:rsidR="00A021C4">
              <w:rPr>
                <w:snapToGrid w:val="0"/>
              </w:rPr>
              <w:t xml:space="preserve">, </w:t>
            </w:r>
            <w:r w:rsidR="00FE68C9">
              <w:rPr>
                <w:snapToGrid w:val="0"/>
              </w:rPr>
              <w:t xml:space="preserve">aptarti </w:t>
            </w:r>
            <w:r w:rsidR="00E626EC">
              <w:rPr>
                <w:snapToGrid w:val="0"/>
              </w:rPr>
              <w:t>procesų įvykdymo terminai</w:t>
            </w:r>
            <w:r w:rsidR="00A021C4">
              <w:rPr>
                <w:snapToGrid w:val="0"/>
              </w:rPr>
              <w:t>, u</w:t>
            </w:r>
            <w:r w:rsidR="00E626EC">
              <w:rPr>
                <w:snapToGrid w:val="0"/>
              </w:rPr>
              <w:t xml:space="preserve">žtikrintas personalo vykdomų funkcijų atskyrimas </w:t>
            </w:r>
            <w:r w:rsidR="00FE68C9">
              <w:rPr>
                <w:snapToGrid w:val="0"/>
              </w:rPr>
              <w:t xml:space="preserve">bei </w:t>
            </w:r>
            <w:r w:rsidR="00E626EC">
              <w:rPr>
                <w:snapToGrid w:val="0"/>
              </w:rPr>
              <w:t xml:space="preserve">vykdomų procedūrų </w:t>
            </w:r>
            <w:r w:rsidR="00FE68C9">
              <w:rPr>
                <w:snapToGrid w:val="0"/>
              </w:rPr>
              <w:t xml:space="preserve">- pacientų registravimo ir </w:t>
            </w:r>
            <w:r w:rsidR="00E77957">
              <w:rPr>
                <w:snapToGrid w:val="0"/>
              </w:rPr>
              <w:t>hospitalizavimo</w:t>
            </w:r>
            <w:r w:rsidR="00FE68C9">
              <w:rPr>
                <w:snapToGrid w:val="0"/>
              </w:rPr>
              <w:t xml:space="preserve"> </w:t>
            </w:r>
            <w:r w:rsidR="00E626EC">
              <w:rPr>
                <w:snapToGrid w:val="0"/>
              </w:rPr>
              <w:t>dokumentavimas ir atsekamumas.</w:t>
            </w:r>
          </w:p>
          <w:p w14:paraId="6372385B" w14:textId="05C8F351" w:rsidR="0020648E" w:rsidRPr="002B3452" w:rsidRDefault="0020648E" w:rsidP="009F6E6B">
            <w:pPr>
              <w:widowControl w:val="0"/>
              <w:spacing w:line="276" w:lineRule="auto"/>
              <w:rPr>
                <w:snapToGrid w:val="0"/>
              </w:rPr>
            </w:pPr>
          </w:p>
        </w:tc>
        <w:tc>
          <w:tcPr>
            <w:tcW w:w="2020" w:type="dxa"/>
          </w:tcPr>
          <w:p w14:paraId="2FE8D44D" w14:textId="64D68947" w:rsidR="002D0CA1" w:rsidRPr="002B3452" w:rsidRDefault="002D0CA1" w:rsidP="00610745">
            <w:pPr>
              <w:widowControl w:val="0"/>
              <w:rPr>
                <w:snapToGrid w:val="0"/>
              </w:rPr>
            </w:pPr>
          </w:p>
        </w:tc>
      </w:tr>
      <w:tr w:rsidR="00A27BB1" w:rsidRPr="002B3452" w14:paraId="1162B179" w14:textId="77777777" w:rsidTr="00FE68C9">
        <w:tc>
          <w:tcPr>
            <w:tcW w:w="3114" w:type="dxa"/>
          </w:tcPr>
          <w:p w14:paraId="3C383456" w14:textId="428657A5" w:rsidR="00A27BB1" w:rsidRPr="002B3452" w:rsidRDefault="004A6F3C" w:rsidP="004A6F3C">
            <w:pPr>
              <w:tabs>
                <w:tab w:val="left" w:pos="2236"/>
                <w:tab w:val="left" w:pos="2472"/>
              </w:tabs>
              <w:jc w:val="both"/>
              <w:rPr>
                <w:snapToGrid w:val="0"/>
              </w:rPr>
            </w:pPr>
            <w:r>
              <w:rPr>
                <w:rFonts w:eastAsiaTheme="minorHAnsi"/>
                <w:lang w:eastAsia="en-US"/>
              </w:rPr>
              <w:t xml:space="preserve">4.1.3. </w:t>
            </w:r>
            <w:r w:rsidR="0089743F" w:rsidRPr="0089743F">
              <w:rPr>
                <w:rFonts w:eastAsiaTheme="minorHAnsi"/>
                <w:lang w:eastAsia="en-US"/>
              </w:rPr>
              <w:t xml:space="preserve">Subjektų vykdomos pacientų registracijos / hospitalizavimo slaugos ir palaikomojo gydymo bei </w:t>
            </w:r>
            <w:proofErr w:type="spellStart"/>
            <w:r w:rsidR="0089743F" w:rsidRPr="0089743F">
              <w:rPr>
                <w:rFonts w:eastAsiaTheme="minorHAnsi"/>
                <w:lang w:eastAsia="en-US"/>
              </w:rPr>
              <w:lastRenderedPageBreak/>
              <w:t>paliatyviosios</w:t>
            </w:r>
            <w:proofErr w:type="spellEnd"/>
            <w:r w:rsidR="0089743F" w:rsidRPr="0089743F">
              <w:rPr>
                <w:rFonts w:eastAsiaTheme="minorHAnsi"/>
                <w:lang w:eastAsia="en-US"/>
              </w:rPr>
              <w:t xml:space="preserve"> pagalbos paslaugoms gauti procedūros ne visada gali užtikrinti minėtų paslaugų teikimo procesų skaidrumą</w:t>
            </w:r>
            <w:r w:rsidR="000554EB">
              <w:rPr>
                <w:rFonts w:eastAsiaTheme="minorHAnsi"/>
                <w:lang w:eastAsia="en-US"/>
              </w:rPr>
              <w:t>.</w:t>
            </w:r>
          </w:p>
        </w:tc>
        <w:tc>
          <w:tcPr>
            <w:tcW w:w="3188" w:type="dxa"/>
          </w:tcPr>
          <w:p w14:paraId="300DFFC2" w14:textId="7111D31E" w:rsidR="004A6F3C" w:rsidRDefault="008F2BC0" w:rsidP="00F23FA3">
            <w:pPr>
              <w:widowControl w:val="0"/>
              <w:rPr>
                <w:color w:val="000000"/>
                <w:lang w:bidi="lt-LT"/>
              </w:rPr>
            </w:pPr>
            <w:r>
              <w:rPr>
                <w:color w:val="000000"/>
                <w:lang w:bidi="lt-LT"/>
              </w:rPr>
              <w:lastRenderedPageBreak/>
              <w:t xml:space="preserve">5.1.4. </w:t>
            </w:r>
            <w:r w:rsidR="004A6F3C">
              <w:rPr>
                <w:color w:val="000000"/>
                <w:lang w:bidi="lt-LT"/>
              </w:rPr>
              <w:t xml:space="preserve">Teisinėmis / organizacinėmis priemonėmis užtikrinti, jog būtų įgyvendinta personalo </w:t>
            </w:r>
            <w:r w:rsidR="004A6F3C">
              <w:rPr>
                <w:color w:val="000000"/>
                <w:lang w:bidi="lt-LT"/>
              </w:rPr>
              <w:lastRenderedPageBreak/>
              <w:t xml:space="preserve">vykdomų funkcijų, susijusių su pacientų registracija / hospitalizacija atskyrimas ir vykdoma efektyvi periodinė ir sisteminė sprendimų dėl slaugos ir palaikomojo gydymo paslaugų teikimo priėmimo </w:t>
            </w:r>
            <w:r w:rsidR="003650CC">
              <w:rPr>
                <w:color w:val="000000"/>
                <w:lang w:bidi="lt-LT"/>
              </w:rPr>
              <w:t xml:space="preserve">vidinė </w:t>
            </w:r>
            <w:proofErr w:type="spellStart"/>
            <w:r w:rsidR="003650CC">
              <w:rPr>
                <w:color w:val="000000"/>
                <w:lang w:bidi="lt-LT"/>
              </w:rPr>
              <w:t>rekontrolė</w:t>
            </w:r>
            <w:proofErr w:type="spellEnd"/>
            <w:r w:rsidR="003650CC">
              <w:rPr>
                <w:color w:val="000000"/>
                <w:lang w:bidi="lt-LT"/>
              </w:rPr>
              <w:t>.</w:t>
            </w:r>
          </w:p>
          <w:p w14:paraId="099F22BF" w14:textId="77777777" w:rsidR="003650CC" w:rsidRDefault="003650CC" w:rsidP="00F23FA3">
            <w:pPr>
              <w:widowControl w:val="0"/>
              <w:rPr>
                <w:color w:val="000000"/>
                <w:lang w:bidi="lt-LT"/>
              </w:rPr>
            </w:pPr>
          </w:p>
          <w:p w14:paraId="02E8EF89" w14:textId="77777777" w:rsidR="00850210" w:rsidRDefault="00850210" w:rsidP="00F23FA3">
            <w:pPr>
              <w:widowControl w:val="0"/>
              <w:rPr>
                <w:color w:val="000000"/>
                <w:lang w:bidi="lt-LT"/>
              </w:rPr>
            </w:pPr>
          </w:p>
          <w:p w14:paraId="79973DA8" w14:textId="77777777" w:rsidR="00850210" w:rsidRDefault="00850210" w:rsidP="00F23FA3">
            <w:pPr>
              <w:widowControl w:val="0"/>
              <w:rPr>
                <w:color w:val="000000"/>
                <w:lang w:bidi="lt-LT"/>
              </w:rPr>
            </w:pPr>
          </w:p>
          <w:p w14:paraId="46D15D4E" w14:textId="77777777" w:rsidR="00850210" w:rsidRDefault="00850210" w:rsidP="00F23FA3">
            <w:pPr>
              <w:widowControl w:val="0"/>
              <w:rPr>
                <w:color w:val="000000"/>
                <w:lang w:bidi="lt-LT"/>
              </w:rPr>
            </w:pPr>
          </w:p>
          <w:p w14:paraId="23FDF41F" w14:textId="77777777" w:rsidR="00850210" w:rsidRDefault="00850210" w:rsidP="00F23FA3">
            <w:pPr>
              <w:widowControl w:val="0"/>
              <w:rPr>
                <w:color w:val="000000"/>
                <w:lang w:bidi="lt-LT"/>
              </w:rPr>
            </w:pPr>
          </w:p>
          <w:p w14:paraId="533C9278" w14:textId="68F54250" w:rsidR="00A27BB1" w:rsidRPr="002B3452" w:rsidRDefault="008F2BC0" w:rsidP="00F23FA3">
            <w:pPr>
              <w:widowControl w:val="0"/>
              <w:rPr>
                <w:snapToGrid w:val="0"/>
              </w:rPr>
            </w:pPr>
            <w:r>
              <w:rPr>
                <w:color w:val="000000"/>
                <w:lang w:bidi="lt-LT"/>
              </w:rPr>
              <w:t xml:space="preserve">5.1.6. </w:t>
            </w:r>
            <w:r w:rsidR="0089743F">
              <w:rPr>
                <w:color w:val="000000"/>
                <w:lang w:bidi="lt-LT"/>
              </w:rPr>
              <w:t>S</w:t>
            </w:r>
            <w:r w:rsidR="0089743F" w:rsidRPr="0089743F">
              <w:rPr>
                <w:color w:val="000000"/>
                <w:lang w:bidi="lt-LT"/>
              </w:rPr>
              <w:t xml:space="preserve">iekiant minimizuoti galimą „žmogiškojo faktoriaus“ įtaką aukščiau įvardintų paslaugų teikimo procesų valdymui, siūlytina svarstyti galimybes diegti elektronines išankstinio pacientų registravimo sistemas, kuriose būtų teikiama visa informacija (laikantis asmens duomenų konfidencialumo principo) apie pacientams prieinamus registracijos laikus, užsiregistravusio paciento „vietą“ eilėje, preliminarų paslaugų suteikimo terminą </w:t>
            </w:r>
          </w:p>
        </w:tc>
        <w:tc>
          <w:tcPr>
            <w:tcW w:w="5887" w:type="dxa"/>
          </w:tcPr>
          <w:p w14:paraId="3DAC697C" w14:textId="77777777" w:rsidR="008A4241" w:rsidRDefault="00E77957" w:rsidP="002F31A2">
            <w:pPr>
              <w:widowControl w:val="0"/>
              <w:spacing w:line="276" w:lineRule="auto"/>
              <w:jc w:val="both"/>
              <w:rPr>
                <w:snapToGrid w:val="0"/>
              </w:rPr>
            </w:pPr>
            <w:r>
              <w:rPr>
                <w:snapToGrid w:val="0"/>
              </w:rPr>
              <w:lastRenderedPageBreak/>
              <w:t>Pacientų registravimo į Viešosios įstaigos Regioninės Mažeikių ligoninės slaugos ir palaikomojo gydymo skyrių asmens sveikatos priežiūros paslaugoms gauti tvarkos apraše nustatytomis priemonėmis u</w:t>
            </w:r>
            <w:r w:rsidR="00B138A3">
              <w:rPr>
                <w:snapToGrid w:val="0"/>
              </w:rPr>
              <w:t xml:space="preserve">žtikrintas personalo </w:t>
            </w:r>
            <w:r w:rsidR="00B138A3">
              <w:rPr>
                <w:snapToGrid w:val="0"/>
              </w:rPr>
              <w:lastRenderedPageBreak/>
              <w:t>vykdomų funkcijų, susijusių su pacientų registracija</w:t>
            </w:r>
            <w:r w:rsidR="00590753">
              <w:rPr>
                <w:snapToGrid w:val="0"/>
              </w:rPr>
              <w:t>, laukimo eilių valdymu</w:t>
            </w:r>
            <w:r w:rsidR="00B138A3">
              <w:rPr>
                <w:snapToGrid w:val="0"/>
              </w:rPr>
              <w:t xml:space="preserve"> ir</w:t>
            </w:r>
            <w:r w:rsidR="00590753">
              <w:rPr>
                <w:snapToGrid w:val="0"/>
              </w:rPr>
              <w:t xml:space="preserve"> sprendimų dėl </w:t>
            </w:r>
            <w:r w:rsidR="00B138A3">
              <w:rPr>
                <w:snapToGrid w:val="0"/>
              </w:rPr>
              <w:t>hospitalizacij</w:t>
            </w:r>
            <w:r w:rsidR="00590753">
              <w:rPr>
                <w:snapToGrid w:val="0"/>
              </w:rPr>
              <w:t>os</w:t>
            </w:r>
            <w:r w:rsidR="00B138A3">
              <w:rPr>
                <w:snapToGrid w:val="0"/>
              </w:rPr>
              <w:t xml:space="preserve"> atskyrimas.</w:t>
            </w:r>
          </w:p>
          <w:p w14:paraId="5895F02D" w14:textId="0C793588" w:rsidR="00B138A3" w:rsidRDefault="00850210" w:rsidP="002F31A2">
            <w:pPr>
              <w:widowControl w:val="0"/>
              <w:spacing w:line="276" w:lineRule="auto"/>
              <w:jc w:val="both"/>
              <w:rPr>
                <w:snapToGrid w:val="0"/>
              </w:rPr>
            </w:pPr>
            <w:r>
              <w:rPr>
                <w:snapToGrid w:val="0"/>
              </w:rPr>
              <w:t>P</w:t>
            </w:r>
            <w:r w:rsidR="008A4241">
              <w:rPr>
                <w:snapToGrid w:val="0"/>
              </w:rPr>
              <w:t xml:space="preserve">eriodinės ir sisteminės sprendimų dėl slaugos ir palaikomojo gydymo paslaugų teikimo priėmimo vidinės </w:t>
            </w:r>
            <w:proofErr w:type="spellStart"/>
            <w:r w:rsidR="008A4241">
              <w:rPr>
                <w:snapToGrid w:val="0"/>
              </w:rPr>
              <w:t>rekontrolės</w:t>
            </w:r>
            <w:proofErr w:type="spellEnd"/>
            <w:r w:rsidR="008A4241">
              <w:rPr>
                <w:snapToGrid w:val="0"/>
              </w:rPr>
              <w:t xml:space="preserve"> vykdym</w:t>
            </w:r>
            <w:r>
              <w:rPr>
                <w:snapToGrid w:val="0"/>
              </w:rPr>
              <w:t>o užtikrinimui p</w:t>
            </w:r>
            <w:r w:rsidR="001C3ECD">
              <w:t xml:space="preserve">agal </w:t>
            </w:r>
            <w:r w:rsidR="001C3ECD">
              <w:rPr>
                <w:snapToGrid w:val="0"/>
              </w:rPr>
              <w:t xml:space="preserve">Viešosios įstaigos Regioninės Mažeikių ligoninės </w:t>
            </w:r>
            <w:r w:rsidR="001C3ECD">
              <w:t xml:space="preserve">direktoriaus patvirtintą metinį planą arba suformuluotas užduotis </w:t>
            </w:r>
            <w:r w:rsidR="008A4241">
              <w:t xml:space="preserve">atliekami Slaugos skyriaus teikiamų paslaugų planiniai arba neplaniniai vidaus </w:t>
            </w:r>
            <w:proofErr w:type="spellStart"/>
            <w:r w:rsidR="008A4241">
              <w:t>mediciniai</w:t>
            </w:r>
            <w:proofErr w:type="spellEnd"/>
            <w:r w:rsidR="008A4241">
              <w:t xml:space="preserve"> auditai</w:t>
            </w:r>
            <w:r w:rsidR="00B138A3">
              <w:rPr>
                <w:snapToGrid w:val="0"/>
              </w:rPr>
              <w:t>.</w:t>
            </w:r>
          </w:p>
          <w:p w14:paraId="2C83865D" w14:textId="2AFEDA6E" w:rsidR="00692114" w:rsidRDefault="00692114" w:rsidP="00121DE4">
            <w:pPr>
              <w:widowControl w:val="0"/>
              <w:jc w:val="both"/>
              <w:rPr>
                <w:snapToGrid w:val="0"/>
              </w:rPr>
            </w:pPr>
          </w:p>
          <w:p w14:paraId="3BBFC80C" w14:textId="77777777" w:rsidR="00BB43B6" w:rsidRDefault="00BB43B6" w:rsidP="00121DE4">
            <w:pPr>
              <w:widowControl w:val="0"/>
              <w:jc w:val="both"/>
              <w:rPr>
                <w:snapToGrid w:val="0"/>
              </w:rPr>
            </w:pPr>
          </w:p>
          <w:p w14:paraId="4DF97864" w14:textId="77777777" w:rsidR="00760866" w:rsidRDefault="00590753" w:rsidP="00760866">
            <w:pPr>
              <w:widowControl w:val="0"/>
              <w:jc w:val="both"/>
              <w:rPr>
                <w:snapToGrid w:val="0"/>
              </w:rPr>
            </w:pPr>
            <w:r>
              <w:rPr>
                <w:snapToGrid w:val="0"/>
              </w:rPr>
              <w:t>Išankstinė pacientų registravimo sistem</w:t>
            </w:r>
            <w:r w:rsidR="00BB43B6">
              <w:rPr>
                <w:snapToGrid w:val="0"/>
              </w:rPr>
              <w:t xml:space="preserve">a šiai dienai nėra </w:t>
            </w:r>
            <w:r>
              <w:rPr>
                <w:snapToGrid w:val="0"/>
              </w:rPr>
              <w:t>pritaikyta stacionarioms paslaugoms gauti</w:t>
            </w:r>
            <w:r w:rsidR="00760866">
              <w:rPr>
                <w:snapToGrid w:val="0"/>
              </w:rPr>
              <w:t>.</w:t>
            </w:r>
          </w:p>
          <w:p w14:paraId="5AA9DEC0" w14:textId="5B32FBF9" w:rsidR="00760866" w:rsidRPr="002B3452" w:rsidRDefault="00760866" w:rsidP="00760866">
            <w:pPr>
              <w:widowControl w:val="0"/>
              <w:jc w:val="both"/>
              <w:rPr>
                <w:snapToGrid w:val="0"/>
              </w:rPr>
            </w:pPr>
            <w:r>
              <w:rPr>
                <w:snapToGrid w:val="0"/>
              </w:rPr>
              <w:t>Visa</w:t>
            </w:r>
            <w:r>
              <w:t xml:space="preserve"> informacija apie pacientams prieinamus </w:t>
            </w:r>
            <w:r w:rsidR="00BB43B6">
              <w:t>registracijos laikus</w:t>
            </w:r>
            <w:r>
              <w:t xml:space="preserve">, paciento „vietą“ eilėje, preliminarų paslaugų suteikimo terminą paciento registracijos metu teikiama  </w:t>
            </w:r>
            <w:r>
              <w:rPr>
                <w:snapToGrid w:val="0"/>
              </w:rPr>
              <w:t>Pacientų registravimo į Viešosios įstaigos Regioninės Mažeikių ligoninės slaugos ir palaikomojo gydymo skyrių asmens sveikatos priežiūros paslaugoms gauti tvarkos apraš</w:t>
            </w:r>
            <w:r>
              <w:rPr>
                <w:snapToGrid w:val="0"/>
              </w:rPr>
              <w:t>e nustatytu būdu.</w:t>
            </w:r>
          </w:p>
          <w:p w14:paraId="55CBED85" w14:textId="4B14C92B" w:rsidR="00195332" w:rsidRPr="002B3452" w:rsidRDefault="00195332" w:rsidP="00121DE4">
            <w:pPr>
              <w:widowControl w:val="0"/>
              <w:jc w:val="both"/>
              <w:rPr>
                <w:snapToGrid w:val="0"/>
              </w:rPr>
            </w:pPr>
          </w:p>
        </w:tc>
        <w:tc>
          <w:tcPr>
            <w:tcW w:w="2020" w:type="dxa"/>
          </w:tcPr>
          <w:p w14:paraId="0B63DEB0" w14:textId="3673DF9A" w:rsidR="002D0CA1" w:rsidRPr="002B3452" w:rsidRDefault="002D0CA1" w:rsidP="007F19F1">
            <w:pPr>
              <w:widowControl w:val="0"/>
              <w:rPr>
                <w:snapToGrid w:val="0"/>
              </w:rPr>
            </w:pPr>
          </w:p>
        </w:tc>
      </w:tr>
      <w:tr w:rsidR="00A27BB1" w:rsidRPr="002B3452" w14:paraId="58C37F53" w14:textId="77777777" w:rsidTr="004A6F3C">
        <w:tc>
          <w:tcPr>
            <w:tcW w:w="14209" w:type="dxa"/>
            <w:gridSpan w:val="4"/>
          </w:tcPr>
          <w:p w14:paraId="6A97B339" w14:textId="77777777" w:rsidR="00A27BB1" w:rsidRPr="008F1D8D" w:rsidRDefault="00A27BB1" w:rsidP="00610745">
            <w:pPr>
              <w:pStyle w:val="ListParagraph"/>
              <w:widowControl w:val="0"/>
              <w:numPr>
                <w:ilvl w:val="0"/>
                <w:numId w:val="1"/>
              </w:numPr>
              <w:jc w:val="center"/>
              <w:rPr>
                <w:i/>
                <w:snapToGrid w:val="0"/>
              </w:rPr>
            </w:pPr>
            <w:r w:rsidRPr="008F1D8D">
              <w:rPr>
                <w:i/>
                <w:snapToGrid w:val="0"/>
              </w:rPr>
              <w:t>Kitos antikorupcinės pastabos</w:t>
            </w:r>
          </w:p>
        </w:tc>
      </w:tr>
      <w:tr w:rsidR="00A27BB1" w:rsidRPr="002B3452" w14:paraId="5BDE54EA" w14:textId="77777777" w:rsidTr="00FE68C9">
        <w:tc>
          <w:tcPr>
            <w:tcW w:w="3114" w:type="dxa"/>
          </w:tcPr>
          <w:p w14:paraId="5EF88963" w14:textId="5C1BC8EC" w:rsidR="00A27BB1" w:rsidRPr="002B3452" w:rsidRDefault="000554EB" w:rsidP="007B1D1B">
            <w:pPr>
              <w:contextualSpacing/>
              <w:jc w:val="both"/>
              <w:rPr>
                <w:snapToGrid w:val="0"/>
              </w:rPr>
            </w:pPr>
            <w:r>
              <w:rPr>
                <w:snapToGrid w:val="0"/>
              </w:rPr>
              <w:t>-</w:t>
            </w:r>
          </w:p>
        </w:tc>
        <w:tc>
          <w:tcPr>
            <w:tcW w:w="3188" w:type="dxa"/>
          </w:tcPr>
          <w:p w14:paraId="7FBB8CED" w14:textId="30F7DFF3" w:rsidR="00A27BB1" w:rsidRPr="002B3452" w:rsidRDefault="000554EB" w:rsidP="000554EB">
            <w:pPr>
              <w:contextualSpacing/>
              <w:jc w:val="both"/>
              <w:rPr>
                <w:snapToGrid w:val="0"/>
              </w:rPr>
            </w:pPr>
            <w:r>
              <w:rPr>
                <w:snapToGrid w:val="0"/>
              </w:rPr>
              <w:t>-</w:t>
            </w:r>
          </w:p>
        </w:tc>
        <w:tc>
          <w:tcPr>
            <w:tcW w:w="5887" w:type="dxa"/>
          </w:tcPr>
          <w:p w14:paraId="591A6ADD" w14:textId="30573B6E" w:rsidR="00A27BB1" w:rsidRPr="002B3452" w:rsidRDefault="000554EB" w:rsidP="00610745">
            <w:pPr>
              <w:widowControl w:val="0"/>
              <w:rPr>
                <w:snapToGrid w:val="0"/>
              </w:rPr>
            </w:pPr>
            <w:r>
              <w:rPr>
                <w:snapToGrid w:val="0"/>
              </w:rPr>
              <w:t>-</w:t>
            </w:r>
          </w:p>
        </w:tc>
        <w:tc>
          <w:tcPr>
            <w:tcW w:w="2020" w:type="dxa"/>
          </w:tcPr>
          <w:p w14:paraId="65828968" w14:textId="1D8FAFBF" w:rsidR="004142FC" w:rsidRPr="002B3452" w:rsidRDefault="000554EB" w:rsidP="00610745">
            <w:pPr>
              <w:widowControl w:val="0"/>
              <w:rPr>
                <w:snapToGrid w:val="0"/>
              </w:rPr>
            </w:pPr>
            <w:r>
              <w:rPr>
                <w:snapToGrid w:val="0"/>
              </w:rPr>
              <w:t>-</w:t>
            </w:r>
          </w:p>
        </w:tc>
      </w:tr>
      <w:tr w:rsidR="00A27BB1" w:rsidRPr="002B3452" w14:paraId="685095CB" w14:textId="77777777" w:rsidTr="004A6F3C">
        <w:tc>
          <w:tcPr>
            <w:tcW w:w="14209" w:type="dxa"/>
            <w:gridSpan w:val="4"/>
          </w:tcPr>
          <w:p w14:paraId="7332360D" w14:textId="77777777" w:rsidR="00A27BB1" w:rsidRPr="008F1D8D" w:rsidRDefault="00A27BB1" w:rsidP="00610745">
            <w:pPr>
              <w:pStyle w:val="ListParagraph"/>
              <w:widowControl w:val="0"/>
              <w:numPr>
                <w:ilvl w:val="0"/>
                <w:numId w:val="1"/>
              </w:numPr>
              <w:jc w:val="center"/>
              <w:rPr>
                <w:i/>
                <w:snapToGrid w:val="0"/>
              </w:rPr>
            </w:pPr>
            <w:r w:rsidRPr="008F1D8D">
              <w:rPr>
                <w:i/>
                <w:snapToGrid w:val="0"/>
              </w:rPr>
              <w:t>Kitos pastabos</w:t>
            </w:r>
          </w:p>
        </w:tc>
      </w:tr>
      <w:tr w:rsidR="00A27BB1" w:rsidRPr="002B3452" w14:paraId="06FCDCFD" w14:textId="77777777" w:rsidTr="00406DAA">
        <w:trPr>
          <w:trHeight w:val="274"/>
        </w:trPr>
        <w:tc>
          <w:tcPr>
            <w:tcW w:w="3114" w:type="dxa"/>
          </w:tcPr>
          <w:p w14:paraId="768F7D5C" w14:textId="14F30FC7" w:rsidR="00A27BB1" w:rsidRPr="002B3452" w:rsidRDefault="00406DAA" w:rsidP="00ED54DB">
            <w:pPr>
              <w:widowControl w:val="0"/>
              <w:jc w:val="both"/>
              <w:rPr>
                <w:snapToGrid w:val="0"/>
              </w:rPr>
            </w:pPr>
            <w:r>
              <w:rPr>
                <w:snapToGrid w:val="0"/>
              </w:rPr>
              <w:t>-</w:t>
            </w:r>
          </w:p>
        </w:tc>
        <w:tc>
          <w:tcPr>
            <w:tcW w:w="3188" w:type="dxa"/>
          </w:tcPr>
          <w:p w14:paraId="79C932D9" w14:textId="4BB0FD57" w:rsidR="00A27BB1" w:rsidRPr="002B3452" w:rsidRDefault="00406DAA" w:rsidP="00610745">
            <w:pPr>
              <w:widowControl w:val="0"/>
              <w:rPr>
                <w:snapToGrid w:val="0"/>
              </w:rPr>
            </w:pPr>
            <w:r>
              <w:rPr>
                <w:snapToGrid w:val="0"/>
              </w:rPr>
              <w:t>-</w:t>
            </w:r>
          </w:p>
        </w:tc>
        <w:tc>
          <w:tcPr>
            <w:tcW w:w="5887" w:type="dxa"/>
          </w:tcPr>
          <w:p w14:paraId="36B0958F" w14:textId="5FF3C759" w:rsidR="005614A4" w:rsidRPr="002B3452" w:rsidRDefault="00406DAA" w:rsidP="002B4E32">
            <w:pPr>
              <w:widowControl w:val="0"/>
              <w:rPr>
                <w:snapToGrid w:val="0"/>
              </w:rPr>
            </w:pPr>
            <w:r>
              <w:rPr>
                <w:snapToGrid w:val="0"/>
              </w:rPr>
              <w:t>-</w:t>
            </w:r>
          </w:p>
        </w:tc>
        <w:tc>
          <w:tcPr>
            <w:tcW w:w="2020" w:type="dxa"/>
          </w:tcPr>
          <w:p w14:paraId="2F6669FD" w14:textId="26338BE2" w:rsidR="004142FC" w:rsidRPr="002B3452" w:rsidRDefault="00406DAA" w:rsidP="001D76FD">
            <w:pPr>
              <w:widowControl w:val="0"/>
              <w:rPr>
                <w:snapToGrid w:val="0"/>
              </w:rPr>
            </w:pPr>
            <w:r>
              <w:rPr>
                <w:snapToGrid w:val="0"/>
              </w:rPr>
              <w:t>-</w:t>
            </w:r>
          </w:p>
        </w:tc>
      </w:tr>
    </w:tbl>
    <w:p w14:paraId="22C6DB33" w14:textId="77777777" w:rsidR="00A27BB1" w:rsidRDefault="00A27BB1" w:rsidP="00A27BB1">
      <w:pPr>
        <w:spacing w:line="360" w:lineRule="auto"/>
        <w:ind w:firstLine="851"/>
        <w:jc w:val="center"/>
        <w:rPr>
          <w:lang w:eastAsia="en-US"/>
        </w:rPr>
      </w:pPr>
    </w:p>
    <w:p w14:paraId="41D3ED99" w14:textId="77777777" w:rsidR="00A27BB1" w:rsidRDefault="00A27BB1" w:rsidP="00A27BB1">
      <w:pPr>
        <w:jc w:val="center"/>
      </w:pPr>
      <w:r>
        <w:t>____________</w:t>
      </w:r>
    </w:p>
    <w:p w14:paraId="0D67D219" w14:textId="77777777" w:rsidR="00E44173" w:rsidRDefault="00E44173"/>
    <w:sectPr w:rsidR="00E44173" w:rsidSect="0037500E">
      <w:footnotePr>
        <w:numFmt w:val="chicago"/>
      </w:footnotePr>
      <w:pgSz w:w="16838" w:h="11906" w:orient="landscape"/>
      <w:pgMar w:top="1701" w:right="1418"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25F07" w14:textId="77777777" w:rsidR="00CA3414" w:rsidRDefault="00CA3414" w:rsidP="00A27BB1">
      <w:r>
        <w:separator/>
      </w:r>
    </w:p>
  </w:endnote>
  <w:endnote w:type="continuationSeparator" w:id="0">
    <w:p w14:paraId="049C28CF" w14:textId="77777777" w:rsidR="00CA3414" w:rsidRDefault="00CA3414" w:rsidP="00A2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E2C14" w14:textId="77777777" w:rsidR="00CA3414" w:rsidRDefault="00CA3414" w:rsidP="00A27BB1">
      <w:r>
        <w:separator/>
      </w:r>
    </w:p>
  </w:footnote>
  <w:footnote w:type="continuationSeparator" w:id="0">
    <w:p w14:paraId="5F1C64B4" w14:textId="77777777" w:rsidR="00CA3414" w:rsidRDefault="00CA3414" w:rsidP="00A27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12B3C"/>
    <w:multiLevelType w:val="hybridMultilevel"/>
    <w:tmpl w:val="DA966A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2F15AC1"/>
    <w:multiLevelType w:val="hybridMultilevel"/>
    <w:tmpl w:val="2280D6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E9163F4"/>
    <w:multiLevelType w:val="hybridMultilevel"/>
    <w:tmpl w:val="22CC57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35157463">
    <w:abstractNumId w:val="1"/>
  </w:num>
  <w:num w:numId="2" w16cid:durableId="1213422461">
    <w:abstractNumId w:val="2"/>
  </w:num>
  <w:num w:numId="3" w16cid:durableId="1553273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296"/>
  <w:hyphenationZone w:val="396"/>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B1"/>
    <w:rsid w:val="00050F6E"/>
    <w:rsid w:val="000554EB"/>
    <w:rsid w:val="0006089B"/>
    <w:rsid w:val="00062598"/>
    <w:rsid w:val="000E1B45"/>
    <w:rsid w:val="00102C5A"/>
    <w:rsid w:val="00121DE4"/>
    <w:rsid w:val="00195332"/>
    <w:rsid w:val="001A22FE"/>
    <w:rsid w:val="001A6B9E"/>
    <w:rsid w:val="001C3ECD"/>
    <w:rsid w:val="001C5B7C"/>
    <w:rsid w:val="001C6CDC"/>
    <w:rsid w:val="001D4A84"/>
    <w:rsid w:val="001D76FD"/>
    <w:rsid w:val="001F6191"/>
    <w:rsid w:val="0020648E"/>
    <w:rsid w:val="002236ED"/>
    <w:rsid w:val="002A7C8C"/>
    <w:rsid w:val="002B4E32"/>
    <w:rsid w:val="002D0CA1"/>
    <w:rsid w:val="002F31A2"/>
    <w:rsid w:val="0033434A"/>
    <w:rsid w:val="003650CC"/>
    <w:rsid w:val="003A2EA4"/>
    <w:rsid w:val="003C5956"/>
    <w:rsid w:val="003D33EB"/>
    <w:rsid w:val="003E0367"/>
    <w:rsid w:val="00406DAA"/>
    <w:rsid w:val="0040748D"/>
    <w:rsid w:val="004142FC"/>
    <w:rsid w:val="00422593"/>
    <w:rsid w:val="0046774D"/>
    <w:rsid w:val="00471F7E"/>
    <w:rsid w:val="004A6F3C"/>
    <w:rsid w:val="004B1158"/>
    <w:rsid w:val="005614A4"/>
    <w:rsid w:val="005731B4"/>
    <w:rsid w:val="00590753"/>
    <w:rsid w:val="006437C1"/>
    <w:rsid w:val="00677B52"/>
    <w:rsid w:val="00692114"/>
    <w:rsid w:val="006F0076"/>
    <w:rsid w:val="006F6485"/>
    <w:rsid w:val="00760866"/>
    <w:rsid w:val="007641D8"/>
    <w:rsid w:val="007B1D1B"/>
    <w:rsid w:val="007C6D6F"/>
    <w:rsid w:val="007E4336"/>
    <w:rsid w:val="007F19F1"/>
    <w:rsid w:val="008417D5"/>
    <w:rsid w:val="0084359C"/>
    <w:rsid w:val="00850210"/>
    <w:rsid w:val="00886D43"/>
    <w:rsid w:val="0089743F"/>
    <w:rsid w:val="008A4241"/>
    <w:rsid w:val="008E5489"/>
    <w:rsid w:val="008F2BC0"/>
    <w:rsid w:val="009052E8"/>
    <w:rsid w:val="009274EB"/>
    <w:rsid w:val="00964685"/>
    <w:rsid w:val="009F6E6B"/>
    <w:rsid w:val="00A021C4"/>
    <w:rsid w:val="00A264A1"/>
    <w:rsid w:val="00A27BB1"/>
    <w:rsid w:val="00A44CC0"/>
    <w:rsid w:val="00A74DB6"/>
    <w:rsid w:val="00A75CC5"/>
    <w:rsid w:val="00B138A3"/>
    <w:rsid w:val="00B3584E"/>
    <w:rsid w:val="00B64083"/>
    <w:rsid w:val="00BB43B6"/>
    <w:rsid w:val="00BB6335"/>
    <w:rsid w:val="00BD1B04"/>
    <w:rsid w:val="00CA3414"/>
    <w:rsid w:val="00CD747C"/>
    <w:rsid w:val="00D11C88"/>
    <w:rsid w:val="00D9387F"/>
    <w:rsid w:val="00DA20E3"/>
    <w:rsid w:val="00DB1EEA"/>
    <w:rsid w:val="00DF7742"/>
    <w:rsid w:val="00E40416"/>
    <w:rsid w:val="00E44173"/>
    <w:rsid w:val="00E626EC"/>
    <w:rsid w:val="00E67946"/>
    <w:rsid w:val="00E77957"/>
    <w:rsid w:val="00ED54DB"/>
    <w:rsid w:val="00EE29FF"/>
    <w:rsid w:val="00F125C4"/>
    <w:rsid w:val="00F23FA3"/>
    <w:rsid w:val="00F4644F"/>
    <w:rsid w:val="00F536C4"/>
    <w:rsid w:val="00F624C6"/>
    <w:rsid w:val="00F705D6"/>
    <w:rsid w:val="00FA068C"/>
    <w:rsid w:val="00FC5191"/>
    <w:rsid w:val="00FC55F5"/>
    <w:rsid w:val="00FE4EFD"/>
    <w:rsid w:val="00FE68C9"/>
    <w:rsid w:val="00FF74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9716"/>
  <w15:chartTrackingRefBased/>
  <w15:docId w15:val="{83248422-112C-43A6-ADA9-84334385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FD"/>
    <w:pPr>
      <w:spacing w:after="0" w:line="240" w:lineRule="auto"/>
    </w:pPr>
    <w:rPr>
      <w:rFonts w:ascii="Times New Roman" w:eastAsia="Times New Roman" w:hAnsi="Times New Roman" w:cs="Times New Roman"/>
      <w:kern w:val="0"/>
      <w:sz w:val="24"/>
      <w:szCs w:val="24"/>
      <w:lang w:eastAsia="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27BB1"/>
    <w:rPr>
      <w:rFonts w:ascii="Arial" w:eastAsia="Calibri" w:hAnsi="Arial"/>
      <w:sz w:val="20"/>
      <w:szCs w:val="20"/>
    </w:rPr>
  </w:style>
  <w:style w:type="character" w:customStyle="1" w:styleId="FootnoteTextChar">
    <w:name w:val="Footnote Text Char"/>
    <w:basedOn w:val="DefaultParagraphFont"/>
    <w:link w:val="FootnoteText"/>
    <w:uiPriority w:val="99"/>
    <w:rsid w:val="00A27BB1"/>
    <w:rPr>
      <w:rFonts w:ascii="Arial" w:eastAsia="Calibri" w:hAnsi="Arial" w:cs="Times New Roman"/>
      <w:kern w:val="0"/>
      <w:sz w:val="20"/>
      <w:szCs w:val="20"/>
      <w:lang w:eastAsia="lt-LT"/>
      <w14:ligatures w14:val="none"/>
    </w:rPr>
  </w:style>
  <w:style w:type="character" w:styleId="FootnoteReference">
    <w:name w:val="footnote reference"/>
    <w:uiPriority w:val="99"/>
    <w:rsid w:val="00A27BB1"/>
    <w:rPr>
      <w:rFonts w:cs="Times New Roman"/>
      <w:vertAlign w:val="superscript"/>
    </w:rPr>
  </w:style>
  <w:style w:type="table" w:styleId="TableGrid">
    <w:name w:val="Table Grid"/>
    <w:basedOn w:val="TableNormal"/>
    <w:rsid w:val="00A27BB1"/>
    <w:pPr>
      <w:spacing w:after="0" w:line="240" w:lineRule="auto"/>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A27BB1"/>
    <w:pPr>
      <w:ind w:left="720"/>
      <w:contextualSpacing/>
    </w:pPr>
    <w:rPr>
      <w:szCs w:val="20"/>
      <w:lang w:eastAsia="en-US"/>
    </w:rPr>
  </w:style>
  <w:style w:type="character" w:customStyle="1" w:styleId="Bodytext2">
    <w:name w:val="Body text (2)_"/>
    <w:basedOn w:val="DefaultParagraphFont"/>
    <w:link w:val="Bodytext20"/>
    <w:rsid w:val="00422593"/>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422593"/>
    <w:pPr>
      <w:widowControl w:val="0"/>
      <w:shd w:val="clear" w:color="auto" w:fill="FFFFFF"/>
      <w:spacing w:before="600" w:after="1020" w:line="274" w:lineRule="exact"/>
    </w:pPr>
    <w:rPr>
      <w:kern w:val="2"/>
      <w:sz w:val="22"/>
      <w:szCs w:val="22"/>
      <w:lang w:eastAsia="en-US"/>
      <w14:ligatures w14:val="standardContextual"/>
    </w:rPr>
  </w:style>
  <w:style w:type="character" w:styleId="Hyperlink">
    <w:name w:val="Hyperlink"/>
    <w:basedOn w:val="DefaultParagraphFont"/>
    <w:uiPriority w:val="99"/>
    <w:unhideWhenUsed/>
    <w:rsid w:val="0020648E"/>
    <w:rPr>
      <w:color w:val="0563C1" w:themeColor="hyperlink"/>
      <w:u w:val="single"/>
    </w:rPr>
  </w:style>
  <w:style w:type="character" w:styleId="UnresolvedMention">
    <w:name w:val="Unresolved Mention"/>
    <w:basedOn w:val="DefaultParagraphFont"/>
    <w:uiPriority w:val="99"/>
    <w:semiHidden/>
    <w:unhideWhenUsed/>
    <w:rsid w:val="0020648E"/>
    <w:rPr>
      <w:color w:val="605E5C"/>
      <w:shd w:val="clear" w:color="auto" w:fill="E1DFDD"/>
    </w:rPr>
  </w:style>
  <w:style w:type="character" w:customStyle="1" w:styleId="BodyTextChar">
    <w:name w:val="Body Text Char"/>
    <w:basedOn w:val="DefaultParagraphFont"/>
    <w:link w:val="BodyText"/>
    <w:rsid w:val="007C6D6F"/>
    <w:rPr>
      <w:rFonts w:ascii="Times New Roman" w:eastAsia="Times New Roman" w:hAnsi="Times New Roman" w:cs="Times New Roman"/>
      <w:b/>
      <w:bCs/>
    </w:rPr>
  </w:style>
  <w:style w:type="paragraph" w:styleId="BodyText">
    <w:name w:val="Body Text"/>
    <w:basedOn w:val="Normal"/>
    <w:link w:val="BodyTextChar"/>
    <w:qFormat/>
    <w:rsid w:val="007C6D6F"/>
    <w:pPr>
      <w:widowControl w:val="0"/>
      <w:spacing w:after="260"/>
      <w:jc w:val="center"/>
    </w:pPr>
    <w:rPr>
      <w:b/>
      <w:bCs/>
      <w:kern w:val="2"/>
      <w:sz w:val="22"/>
      <w:szCs w:val="22"/>
      <w:lang w:eastAsia="en-US"/>
      <w14:ligatures w14:val="standardContextual"/>
    </w:rPr>
  </w:style>
  <w:style w:type="character" w:customStyle="1" w:styleId="BodyTextChar1">
    <w:name w:val="Body Text Char1"/>
    <w:basedOn w:val="DefaultParagraphFont"/>
    <w:uiPriority w:val="99"/>
    <w:semiHidden/>
    <w:rsid w:val="007C6D6F"/>
    <w:rPr>
      <w:rFonts w:ascii="Times New Roman" w:eastAsia="Times New Roman" w:hAnsi="Times New Roman" w:cs="Times New Roman"/>
      <w:kern w:val="0"/>
      <w:sz w:val="24"/>
      <w:szCs w:val="24"/>
      <w:lang w:eastAsia="lt-LT"/>
      <w14:ligatures w14:val="none"/>
    </w:rPr>
  </w:style>
  <w:style w:type="character" w:customStyle="1" w:styleId="Other">
    <w:name w:val="Other_"/>
    <w:basedOn w:val="DefaultParagraphFont"/>
    <w:link w:val="Other0"/>
    <w:locked/>
    <w:rsid w:val="00050F6E"/>
    <w:rPr>
      <w:rFonts w:ascii="Times New Roman" w:eastAsia="Times New Roman" w:hAnsi="Times New Roman" w:cs="Times New Roman"/>
    </w:rPr>
  </w:style>
  <w:style w:type="paragraph" w:customStyle="1" w:styleId="Other0">
    <w:name w:val="Other"/>
    <w:basedOn w:val="Normal"/>
    <w:link w:val="Other"/>
    <w:rsid w:val="00050F6E"/>
    <w:pPr>
      <w:widowControl w:val="0"/>
    </w:pPr>
    <w:rPr>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2664</Words>
  <Characters>1520</Characters>
  <Application>Microsoft Office Word</Application>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Motieka</dc:creator>
  <cp:keywords/>
  <dc:description/>
  <cp:lastModifiedBy>Rita Jonaitienė</cp:lastModifiedBy>
  <cp:revision>21</cp:revision>
  <dcterms:created xsi:type="dcterms:W3CDTF">2025-05-19T12:00:00Z</dcterms:created>
  <dcterms:modified xsi:type="dcterms:W3CDTF">2025-05-20T10:50:00Z</dcterms:modified>
</cp:coreProperties>
</file>